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c>
          <w:tcPr>
            <w:tcW w:type="dxa" w:w="10224"/>
            <w:tcBorders>
              <w:top w:val="none" w:color="FFFFFF" w:sz="0"/>
              <w:left w:val="none" w:color="FFFFFF" w:sz="0"/>
              <w:bottom w:val="none" w:color="FFFFFF" w:sz="0"/>
              <w:right w:val="none" w:color="FFFFFF" w:sz="0"/>
            </w:tcBorders>
            <w:shd w:fill="FF5B2E" w:color="auto" w:val="clear"/>
            <w:tcMar>
              <w:top w:type="dxa" w:w="180"/>
              <w:left w:type="dxa" w:w="240"/>
              <w:bottom w:type="dxa" w:w="180"/>
              <w:right w:type="dxa" w:w="240"/>
            </w:tcMar>
          </w:tcPr>
          <w:p>
            <w:pPr>
              <w:spacing w:after="100"/>
            </w:pPr>
            <w:r>
              <w:rPr>
                <w:rFonts w:ascii="Calibri" w:cs="Calibri" w:eastAsia="Calibri" w:hAnsi="Calibri"/>
                <w:b/>
                <w:bCs/>
                <w:color w:val="FFFFFF"/>
                <w:spacing w:val="60"/>
                <w:sz w:val="20"/>
                <w:szCs w:val="20"/>
              </w:rPr>
              <w:t xml:space="preserve">EHS COMMUNITY</w:t>
            </w:r>
          </w:p>
          <w:p>
            <w:pPr>
              <w:spacing w:after="80"/>
            </w:pPr>
            <w:r>
              <w:rPr>
                <w:rFonts w:ascii="Calibri" w:cs="Calibri" w:eastAsia="Calibri" w:hAnsi="Calibri"/>
                <w:b/>
                <w:bCs/>
                <w:color w:val="FFFFFF"/>
                <w:sz w:val="40"/>
                <w:szCs w:val="40"/>
              </w:rPr>
              <w:t xml:space="preserve">Confined Space Entry Permit</w:t>
            </w:r>
          </w:p>
          <w:p>
            <w:pPr>
              <w:spacing w:after="0"/>
            </w:pPr>
            <w:r>
              <w:rPr>
                <w:rFonts w:ascii="Calibri" w:cs="Calibri" w:eastAsia="Calibri" w:hAnsi="Calibri"/>
                <w:color w:val="FFFFFF"/>
                <w:sz w:val="20"/>
                <w:szCs w:val="20"/>
              </w:rPr>
              <w:t xml:space="preserve">Per 29 CFR 1910.146 — Permit-Required Confined Spaces</w:t>
            </w:r>
          </w:p>
        </w:tc>
      </w:tr>
    </w:tbl>
    <w:p>
      <w:pPr>
        <w:spacing w:after="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4"/>
      </w:tblGrid>
      <w:tr>
        <w:trPr>
          <w:cantSplit/>
          <w:trHeight w:val="640" w:hRule="atLeast"/>
        </w:trPr>
        <w:tc>
          <w:tcPr>
            <w:tcW w:type="dxa" w:w="10224"/>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Permit #</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single" w:color="C0392B" w:sz="24"/>
              <w:bottom w:val="none" w:color="FFFFFF" w:sz="0"/>
              <w:right w:val="none" w:color="FFFFFF" w:sz="0"/>
            </w:tcBorders>
            <w:shd w:fill="FDF3F0" w:color="auto" w:val="clear"/>
            <w:tcMar>
              <w:top w:type="dxa" w:w="90"/>
              <w:left w:type="dxa" w:w="160"/>
              <w:bottom w:type="dxa" w:w="90"/>
              <w:right w:type="dxa" w:w="140"/>
            </w:tcMar>
          </w:tcPr>
          <w:p>
            <w:pPr>
              <w:spacing w:after="0" w:before="0" w:line="264"/>
            </w:pPr>
            <w:r>
              <w:rPr>
                <w:rFonts w:ascii="Calibri" w:cs="Calibri" w:eastAsia="Calibri" w:hAnsi="Calibri"/>
                <w:b w:val="false"/>
                <w:bCs w:val="false"/>
                <w:color w:val="5A1F17"/>
                <w:sz w:val="18"/>
                <w:szCs w:val="18"/>
              </w:rPr>
              <w:t xml:space="preserve">⚠ PERMIT-REQUIRED CONFINED SPACE ENTRY. This permit must be completed and signed by the Entry Supervisor before any entrant enters the space. The permit is valid only for the date and duration listed. Cancel immediately if conditions change or the job scope changes.</w:t>
            </w: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1 — SPACE &amp; JOB IDENTIFICATION</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Space Name / Location</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Space Description / ID</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Purpose of Entry</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6"/>
        <w:gridCol w:w="2556"/>
        <w:gridCol w:w="2556"/>
        <w:gridCol w:w="2556"/>
      </w:tblGrid>
      <w:tr>
        <w:trPr>
          <w:cantSplit/>
          <w:trHeight w:val="640" w:hRule="atLeast"/>
        </w:trPr>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Permit Date</w:t>
            </w:r>
          </w:p>
        </w:tc>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Valid From (Time)</w:t>
            </w:r>
          </w:p>
        </w:tc>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Permit Expires (Time)</w:t>
            </w:r>
          </w:p>
        </w:tc>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Maximum # Entrants</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2 — HAZARDS PRESENT IN THIS SPACE</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89"/>
        <w:gridCol w:w="1533"/>
        <w:gridCol w:w="4602"/>
      </w:tblGrid>
      <w:tr>
        <w:trPr>
          <w:cantSplit/>
          <w:tblHeader/>
        </w:trPr>
        <w:tc>
          <w:tcPr>
            <w:tcW w:type="dxa" w:w="4089"/>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Potential Hazard</w:t>
            </w:r>
          </w:p>
        </w:tc>
        <w:tc>
          <w:tcPr>
            <w:tcW w:type="dxa" w:w="1533"/>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Present? (Y/N)</w:t>
            </w:r>
          </w:p>
        </w:tc>
        <w:tc>
          <w:tcPr>
            <w:tcW w:type="dxa" w:w="4602"/>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Control Measure</w:t>
            </w:r>
          </w:p>
        </w:tc>
      </w:tr>
      <w:tr>
        <w:trPr>
          <w:cantSplit/>
          <w:trHeight w:val="460" w:hRule="atLeast"/>
        </w:trPr>
        <w:tc>
          <w:tcPr>
            <w:tcW w:type="dxa" w:w="408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Oxygen-deficient atmosphere (&lt;19.5%)</w:t>
            </w:r>
          </w:p>
        </w:tc>
        <w:tc>
          <w:tcPr>
            <w:tcW w:type="dxa" w:w="1533"/>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4602"/>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408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Oxygen-enriched atmosphere (&gt;23.5%)</w:t>
            </w:r>
          </w:p>
        </w:tc>
        <w:tc>
          <w:tcPr>
            <w:tcW w:type="dxa" w:w="1533"/>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4602"/>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408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Flammable gas / vapor (&gt;10% LEL)</w:t>
            </w:r>
          </w:p>
        </w:tc>
        <w:tc>
          <w:tcPr>
            <w:tcW w:type="dxa" w:w="1533"/>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4602"/>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408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Toxic air contaminant (above PEL)</w:t>
            </w:r>
          </w:p>
        </w:tc>
        <w:tc>
          <w:tcPr>
            <w:tcW w:type="dxa" w:w="1533"/>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4602"/>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408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Engulfment / flooding hazard</w:t>
            </w:r>
          </w:p>
        </w:tc>
        <w:tc>
          <w:tcPr>
            <w:tcW w:type="dxa" w:w="1533"/>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4602"/>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408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Internal configuration / entrapment</w:t>
            </w:r>
          </w:p>
        </w:tc>
        <w:tc>
          <w:tcPr>
            <w:tcW w:type="dxa" w:w="1533"/>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4602"/>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408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Mechanical / energized equipment</w:t>
            </w:r>
          </w:p>
        </w:tc>
        <w:tc>
          <w:tcPr>
            <w:tcW w:type="dxa" w:w="1533"/>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4602"/>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408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Thermal (heat / cold stress)</w:t>
            </w:r>
          </w:p>
        </w:tc>
        <w:tc>
          <w:tcPr>
            <w:tcW w:type="dxa" w:w="1533"/>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4602"/>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4089"/>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Other: _______________________</w:t>
            </w:r>
          </w:p>
        </w:tc>
        <w:tc>
          <w:tcPr>
            <w:tcW w:type="dxa" w:w="1533"/>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4602"/>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3 — ATMOSPHERIC TESTING LOG</w:t>
            </w:r>
          </w:p>
        </w:tc>
      </w:tr>
    </w:tbl>
    <w:p>
      <w:pPr>
        <w:keepNext/>
        <w:spacing w:after="40"/>
      </w:pPr>
    </w:p>
    <w:p>
      <w:pPr>
        <w:spacing w:after="60" w:before="0" w:line="264"/>
      </w:pPr>
      <w:r>
        <w:rPr>
          <w:rFonts w:ascii="Calibri" w:cs="Calibri" w:eastAsia="Calibri" w:hAnsi="Calibri"/>
          <w:b w:val="false"/>
          <w:bCs w:val="false"/>
          <w:sz w:val="19"/>
          <w:szCs w:val="19"/>
        </w:rPr>
        <w:t xml:space="preserve">Before entry, test in this order: oxygen, then combustible gases and vapors, then toxic gases and vapors (29 CFR 1910.146(d)(5)(iii)). During entry, test or monitor as often as needed to confirm acceptable conditions are maintained (d)(5)(ii); monitor continuously where the space cannot be isolated (d)(5)(i). Continuous monitoring, and testing at several levels where the atmosphere may be stratified (Appendix B to 1910.146), are good practice. Column limits are US federal OSHA values; Cal/OSHA's are lower (8 CCR 5155: CO 25 ppm and H₂S 10 ppm 8-hour PELs) and Canadian provinces set their own, so use the limits for your jurisdiction.</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35"/>
        <w:gridCol w:w="1135"/>
        <w:gridCol w:w="1135"/>
        <w:gridCol w:w="1135"/>
        <w:gridCol w:w="1135"/>
        <w:gridCol w:w="1135"/>
        <w:gridCol w:w="1135"/>
        <w:gridCol w:w="1135"/>
        <w:gridCol w:w="1144"/>
      </w:tblGrid>
      <w:tr>
        <w:trPr>
          <w:cantSplit/>
          <w:tblHeader/>
        </w:trPr>
        <w:tc>
          <w:tcPr>
            <w:tcW w:type="dxa" w:w="1135"/>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Time</w:t>
            </w:r>
          </w:p>
        </w:tc>
        <w:tc>
          <w:tcPr>
            <w:tcW w:type="dxa" w:w="1135"/>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Tested By</w:t>
            </w:r>
          </w:p>
        </w:tc>
        <w:tc>
          <w:tcPr>
            <w:tcW w:type="dxa" w:w="1135"/>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Instrument / Cal. Date</w:t>
            </w:r>
          </w:p>
        </w:tc>
        <w:tc>
          <w:tcPr>
            <w:tcW w:type="dxa" w:w="1135"/>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O₂ % (19.5–23.5%)</w:t>
            </w:r>
          </w:p>
        </w:tc>
        <w:tc>
          <w:tcPr>
            <w:tcW w:type="dxa" w:w="1135"/>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LEL % (&lt;10%)</w:t>
            </w:r>
          </w:p>
        </w:tc>
        <w:tc>
          <w:tcPr>
            <w:tcW w:type="dxa" w:w="1135"/>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CO ppm (US PEL: 50, 8-hr TWA)</w:t>
            </w:r>
          </w:p>
        </w:tc>
        <w:tc>
          <w:tcPr>
            <w:tcW w:type="dxa" w:w="1135"/>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H₂S ppm (US ceiling: 20)</w:t>
            </w:r>
          </w:p>
        </w:tc>
        <w:tc>
          <w:tcPr>
            <w:tcW w:type="dxa" w:w="1135"/>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Other</w:t>
            </w:r>
          </w:p>
        </w:tc>
        <w:tc>
          <w:tcPr>
            <w:tcW w:type="dxa" w:w="11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Safe to Enter?</w:t>
            </w:r>
          </w:p>
        </w:tc>
      </w:tr>
      <w:tr>
        <w:trPr>
          <w:cantSplit/>
          <w:trHeight w:val="460" w:hRule="atLeast"/>
        </w:trPr>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35"/>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11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4 — ISOLATION &amp; ENERGY CONTROL</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LOTO Procedure # / Equipment Isolated</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Lines Blanked / Blinded</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Ventilation Provided (Type / CFM)</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5 — REQUIRED PPE</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Respiratory Protection</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Retrieval / Rescue Equipment</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Other PPE Required</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6 — PERSONNEL</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4"/>
        <w:gridCol w:w="2044"/>
        <w:gridCol w:w="2044"/>
        <w:gridCol w:w="2044"/>
        <w:gridCol w:w="2048"/>
      </w:tblGrid>
      <w:tr>
        <w:trPr>
          <w:cantSplit/>
          <w:tblHeader/>
        </w:trPr>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Role</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Name (Print)</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Signature</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Time In</w:t>
            </w:r>
          </w:p>
        </w:tc>
        <w:tc>
          <w:tcPr>
            <w:tcW w:type="dxa" w:w="204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Time Out</w:t>
            </w: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Entry Supervisor</w:t>
            </w: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w:t>
            </w: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w:t>
            </w: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Attendant (Outside)</w:t>
            </w: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w:t>
            </w: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w:t>
            </w: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Authorized Entrant 1</w:t>
            </w: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Authorized Entrant 2</w:t>
            </w: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shd w:fill="FAFAFA" w:color="auto" w:val="clear"/>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Rescue Service Contact</w:t>
            </w: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w:t>
            </w: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w:t>
            </w: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pPr>
              <w:spacing w:after="0" w:before="0" w:line="264"/>
            </w:pPr>
            <w:r>
              <w:rPr>
                <w:rFonts w:ascii="Calibri" w:cs="Calibri" w:eastAsia="Calibri" w:hAnsi="Calibri"/>
                <w:b w:val="false"/>
                <w:bCs w:val="false"/>
                <w:sz w:val="18"/>
                <w:szCs w:val="18"/>
              </w:rPr>
              <w:t xml:space="preserve">—</w:t>
            </w:r>
          </w:p>
        </w:tc>
      </w:tr>
    </w:tbl>
    <w:p>
      <w:pPr>
        <w:spacing w:after="6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640" w:hRule="atLeast"/>
        </w:trPr>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Rescue Service Phone</w:t>
            </w:r>
          </w:p>
        </w:tc>
        <w:tc>
          <w:tcPr>
            <w:tcW w:type="dxa" w:w="5112"/>
            <w:tcBorders>
              <w:top w:val="none" w:color="FFFFFF" w:sz="0"/>
              <w:left w:val="none" w:color="FFFFFF" w:sz="0"/>
              <w:bottom w:val="none" w:color="FFFFFF" w:sz="0"/>
              <w:right w:val="none" w:color="FFFFFF" w:sz="0"/>
            </w:tcBorders>
            <w:tcMar>
              <w:top w:type="dxa" w:w="50"/>
              <w:left w:type="dxa" w:w="100"/>
              <w:bottom w:type="dxa" w:w="50"/>
              <w:right w:type="dxa" w:w="100"/>
            </w:tcMar>
          </w:tcP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7 — RESCUE PLAN</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640" w:hRule="atLeast"/>
        </w:trPr>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Non-Entry Rescue Method (preferred)</w:t>
            </w:r>
          </w:p>
        </w:tc>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Emergency Contact / 911 Access Point</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PERMIT CANCELLATION / CLOSURE</w:t>
            </w:r>
          </w:p>
        </w:tc>
      </w:tr>
    </w:tbl>
    <w:p>
      <w:pPr>
        <w:keepNext/>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Reason for Cancellation or Completion</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Cancelled / Closed By</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Time</w:t>
            </w:r>
          </w:p>
        </w:tc>
      </w:tr>
    </w:tbl>
    <w:p>
      <w:pPr>
        <w:spacing w:after="40"/>
      </w:pPr>
    </w:p>
    <w:p>
      <w:pPr>
        <w:spacing w:after="60" w:before="0" w:line="264"/>
      </w:pPr>
      <w:r>
        <w:rPr>
          <w:rFonts w:ascii="Calibri" w:cs="Calibri" w:eastAsia="Calibri" w:hAnsi="Calibri"/>
          <w:b w:val="false"/>
          <w:bCs w:val="false"/>
          <w:sz w:val="19"/>
          <w:szCs w:val="19"/>
        </w:rPr>
        <w:t xml:space="preserve">Cancelled permits must be retained for at least 1 year per 29 CFR 1910.146(e)(6) so that failures can be reviewed during the annual review of the confined space program.</w:t>
      </w:r>
    </w:p>
    <w:p>
      <w:pPr>
        <w:pBdr>
          <w:top w:val="single" w:color="DDDDDD" w:sz="4" w:space="6"/>
        </w:pBdr>
        <w:spacing w:after="0" w:before="240"/>
        <w:jc w:val="center"/>
      </w:pPr>
      <w:r>
        <w:rPr>
          <w:rFonts w:ascii="Calibri" w:cs="Calibri" w:eastAsia="Calibri" w:hAnsi="Calibri"/>
          <w:b w:val="false"/>
          <w:bCs w:val="false"/>
          <w:color w:val="777777"/>
          <w:sz w:val="15"/>
          <w:szCs w:val="15"/>
        </w:rPr>
        <w:t xml:space="preserve">This template is provided for educational purposes by EHS Community (ehscommunity.com). It does not constitute legal advice. Reference: 29 CFR 1910.146 — Permit-Required Confined Spaces.</w:t>
      </w:r>
    </w:p>
    <w:sectPr>
      <w:headerReference w:type="default" r:id="rId6"/>
      <w:headerReference w:type="first" r:id="rId7"/>
      <w:footerReference w:type="default" r:id="rId8"/>
      <w:footerReference w:type="first" r:id="rId9"/>
      <w:pgSz w:w="12240" w:h="15840" w:orient="portrait"/>
      <w:pgMar w:top="900" w:right="1008" w:bottom="1000" w:left="1008" w:header="400" w:footer="4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5B2E" w:sz="6" w:space="4"/>
      </w:pBdr>
      <w:spacing w:after="20" w:before="0"/>
    </w:pPr>
    <w:r>
      <w:rPr>
        <w:rFonts w:ascii="Calibri" w:cs="Calibri" w:eastAsia="Calibri" w:hAnsi="Calibri"/>
        <w:color w:val="555555"/>
        <w:sz w:val="15"/>
        <w:szCs w:val="15"/>
      </w:rPr>
      <w:t xml:space="preserve">Per 29 CFR 1910.146 — Permit-Required Confined Spaces</w:t>
    </w:r>
  </w:p>
  <w:p>
    <w:pPr>
      <w:tabs>
        <w:tab w:val="right" w:pos="10224"/>
      </w:tabs>
      <w:spacing w:after="0"/>
    </w:pPr>
    <w:r>
      <w:rPr>
        <w:rFonts w:ascii="Calibri" w:cs="Calibri" w:eastAsia="Calibri" w:hAnsi="Calibri"/>
        <w:color w:val="555555"/>
        <w:sz w:val="15"/>
        <w:szCs w:val="15"/>
      </w:rPr>
      <w:t xml:space="preserve">EHS Community — ehscommunity.com</w:t>
    </w:r>
    <w:r>
      <w:rPr>
        <w:rFonts w:ascii="Calibri" w:cs="Calibri" w:eastAsia="Calibri" w:hAnsi="Calibri"/>
        <w:color w:val="555555"/>
        <w:sz w:val="15"/>
        <w:szCs w:val="15"/>
      </w:rPr>
      <w:t xml:space="preserve">	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5B2E" w:sz="6" w:space="4"/>
      </w:pBdr>
      <w:spacing w:after="20" w:before="0"/>
    </w:pPr>
    <w:r>
      <w:rPr>
        <w:rFonts w:ascii="Calibri" w:cs="Calibri" w:eastAsia="Calibri" w:hAnsi="Calibri"/>
        <w:color w:val="555555"/>
        <w:sz w:val="15"/>
        <w:szCs w:val="15"/>
      </w:rPr>
      <w:t xml:space="preserve">Per 29 CFR 1910.146 — Permit-Required Confined Spaces</w:t>
    </w:r>
  </w:p>
  <w:p>
    <w:pPr>
      <w:tabs>
        <w:tab w:val="right" w:pos="10224"/>
      </w:tabs>
      <w:spacing w:after="0"/>
    </w:pPr>
    <w:r>
      <w:rPr>
        <w:rFonts w:ascii="Calibri" w:cs="Calibri" w:eastAsia="Calibri" w:hAnsi="Calibri"/>
        <w:color w:val="555555"/>
        <w:sz w:val="15"/>
        <w:szCs w:val="15"/>
      </w:rPr>
      <w:t xml:space="preserve">EHS Community — ehscommunity.com</w:t>
    </w:r>
    <w:r>
      <w:rPr>
        <w:rFonts w:ascii="Calibri" w:cs="Calibri" w:eastAsia="Calibri" w:hAnsi="Calibri"/>
        <w:color w:val="555555"/>
        <w:sz w:val="15"/>
        <w:szCs w:val="15"/>
      </w:rPr>
      <w:t xml:space="preserve">	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b/>
        <w:bCs/>
        <w:color w:val="FF5B2E"/>
        <w:spacing w:val="40"/>
        <w:sz w:val="15"/>
        <w:szCs w:val="15"/>
      </w:rPr>
      <w:t xml:space="preserve">EHS COMMUNITY</w:t>
    </w:r>
    <w:r>
      <w:rPr>
        <w:rFonts w:ascii="Calibri" w:cs="Calibri" w:eastAsia="Calibri" w:hAnsi="Calibri"/>
        <w:color w:val="555555"/>
        <w:sz w:val="15"/>
        <w:szCs w:val="15"/>
      </w:rPr>
      <w:t xml:space="preserve">   Confined Space Entry Permit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Confined Space Entry Permit</dc:title>
  <dc:creator>EHS Community</dc:creator>
  <dc:description>Per 29 CFR 1910.146 — Permit-Required Confined Spaces</dc:description>
  <cp:lastModifiedBy>Un-named</cp:lastModifiedBy>
  <cp:revision>1</cp:revision>
  <dcterms:created xsi:type="dcterms:W3CDTF">2026-10-21T16:13:07.290Z</dcterms:created>
  <dcterms:modified xsi:type="dcterms:W3CDTF">2026-10-21T16:13:07.290Z</dcterms:modified>
</cp:coreProperties>
</file>

<file path=docProps/custom.xml><?xml version="1.0" encoding="utf-8"?>
<Properties xmlns="http://schemas.openxmlformats.org/officeDocument/2006/custom-properties" xmlns:vt="http://schemas.openxmlformats.org/officeDocument/2006/docPropsVTypes"/>
</file>